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47F12" w14:textId="4D5B9694" w:rsidR="009A03EA" w:rsidRPr="002A5A9C" w:rsidRDefault="009A03EA" w:rsidP="009A03EA">
      <w:pPr>
        <w:pStyle w:val="Kop1"/>
        <w:rPr>
          <w:rFonts w:ascii="Century Gothic" w:hAnsi="Century Gothic"/>
          <w:sz w:val="20"/>
          <w:szCs w:val="20"/>
        </w:rPr>
      </w:pPr>
      <w:bookmarkStart w:id="0" w:name="_Toc288828910"/>
      <w:bookmarkStart w:id="1" w:name="_Toc361891115"/>
      <w:r w:rsidRPr="0021686A">
        <w:rPr>
          <w:rFonts w:ascii="Century Gothic" w:hAnsi="Century Gothic"/>
          <w:sz w:val="20"/>
          <w:szCs w:val="20"/>
        </w:rPr>
        <w:t>Bijlage</w:t>
      </w:r>
      <w:r w:rsidR="003A21EA">
        <w:rPr>
          <w:rFonts w:ascii="Century Gothic" w:hAnsi="Century Gothic"/>
          <w:sz w:val="20"/>
          <w:szCs w:val="20"/>
        </w:rPr>
        <w:t xml:space="preserve"> 5b</w:t>
      </w:r>
      <w:r w:rsidRPr="0021686A">
        <w:rPr>
          <w:rFonts w:ascii="Century Gothic" w:hAnsi="Century Gothic"/>
          <w:sz w:val="20"/>
          <w:szCs w:val="20"/>
        </w:rPr>
        <w:t>: Aanwijzingen glasbewassing</w:t>
      </w:r>
      <w:bookmarkEnd w:id="0"/>
      <w:bookmarkEnd w:id="1"/>
    </w:p>
    <w:p w14:paraId="1AFB8858" w14:textId="77777777" w:rsidR="009A03EA" w:rsidRPr="002A5A9C" w:rsidRDefault="009A03EA" w:rsidP="009A03EA">
      <w:pPr>
        <w:pStyle w:val="Normaa"/>
        <w:rPr>
          <w:rFonts w:ascii="Century Gothic" w:hAnsi="Century Gothic"/>
        </w:rPr>
      </w:pPr>
    </w:p>
    <w:p w14:paraId="3EAA514A" w14:textId="77777777" w:rsidR="009A03EA" w:rsidRPr="002A5A9C" w:rsidRDefault="009A03EA" w:rsidP="009A03EA">
      <w:pPr>
        <w:pStyle w:val="Normaa"/>
        <w:rPr>
          <w:rFonts w:ascii="Century Gothic" w:hAnsi="Century Gothic"/>
          <w:i/>
          <w:u w:val="single"/>
        </w:rPr>
      </w:pPr>
      <w:r w:rsidRPr="0021686A">
        <w:rPr>
          <w:rFonts w:ascii="Century Gothic" w:hAnsi="Century Gothic"/>
          <w:i/>
          <w:u w:val="single"/>
        </w:rPr>
        <w:t>Algemene voorschriften</w:t>
      </w:r>
      <w:r w:rsidRPr="002A5A9C">
        <w:rPr>
          <w:rFonts w:ascii="Century Gothic" w:hAnsi="Century Gothic"/>
          <w:i/>
          <w:u w:val="single"/>
        </w:rPr>
        <w:t>:</w:t>
      </w:r>
    </w:p>
    <w:p w14:paraId="26FD5C00" w14:textId="2D97B1CF"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De dienstverlener dient er op toe te zien dat het</w:t>
      </w:r>
      <w:r w:rsidR="007331F9">
        <w:rPr>
          <w:rFonts w:ascii="Century Gothic" w:hAnsi="Century Gothic"/>
        </w:rPr>
        <w:t xml:space="preserve"> </w:t>
      </w:r>
      <w:r w:rsidRPr="0021686A">
        <w:rPr>
          <w:rFonts w:ascii="Century Gothic" w:hAnsi="Century Gothic"/>
        </w:rPr>
        <w:t>personeel</w:t>
      </w:r>
      <w:r w:rsidR="00C74838">
        <w:rPr>
          <w:rFonts w:ascii="Century Gothic" w:hAnsi="Century Gothic"/>
        </w:rPr>
        <w:t xml:space="preserve"> (eigen, </w:t>
      </w:r>
      <w:proofErr w:type="spellStart"/>
      <w:r w:rsidR="00C74838">
        <w:rPr>
          <w:rFonts w:ascii="Century Gothic" w:hAnsi="Century Gothic"/>
        </w:rPr>
        <w:t>combinant</w:t>
      </w:r>
      <w:proofErr w:type="spellEnd"/>
      <w:r w:rsidR="00C74838">
        <w:rPr>
          <w:rFonts w:ascii="Century Gothic" w:hAnsi="Century Gothic"/>
        </w:rPr>
        <w:t xml:space="preserve"> of onderaannemer)</w:t>
      </w:r>
      <w:r w:rsidR="007331F9">
        <w:rPr>
          <w:rFonts w:ascii="Century Gothic" w:hAnsi="Century Gothic"/>
        </w:rPr>
        <w:t xml:space="preserve"> </w:t>
      </w:r>
      <w:r w:rsidRPr="0021686A">
        <w:rPr>
          <w:rFonts w:ascii="Century Gothic" w:hAnsi="Century Gothic"/>
        </w:rPr>
        <w:t xml:space="preserve">de werkzaamheden uitvoert volgens de wettelijke geldende voorschriften, zoals die onder meer staan vermeld in de </w:t>
      </w:r>
      <w:r w:rsidR="00A61116" w:rsidRPr="00A61116">
        <w:rPr>
          <w:rFonts w:ascii="Century Gothic" w:hAnsi="Century Gothic"/>
        </w:rPr>
        <w:t>Arbowet en Arbocatalogus</w:t>
      </w:r>
      <w:r w:rsidRPr="0021686A">
        <w:rPr>
          <w:rFonts w:ascii="Century Gothic" w:hAnsi="Century Gothic"/>
        </w:rPr>
        <w:t>.</w:t>
      </w:r>
    </w:p>
    <w:p w14:paraId="60BF36DA" w14:textId="25957119"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 xml:space="preserve">Daarnaast dienen alle opgedragen werkzaamheden, inclusief de afroepwerkzaamheden te worden uitgevoerd in overeenstemming met de doelen en maatregelen uit de “Collectieve arbeidsovereenkomst </w:t>
      </w:r>
      <w:r w:rsidR="00A61116">
        <w:rPr>
          <w:rFonts w:ascii="Century Gothic" w:hAnsi="Century Gothic"/>
        </w:rPr>
        <w:t>in</w:t>
      </w:r>
      <w:r w:rsidRPr="0021686A">
        <w:rPr>
          <w:rFonts w:ascii="Century Gothic" w:hAnsi="Century Gothic"/>
        </w:rPr>
        <w:t xml:space="preserve"> het schoonmaak- en </w:t>
      </w:r>
      <w:proofErr w:type="spellStart"/>
      <w:r w:rsidRPr="0021686A">
        <w:rPr>
          <w:rFonts w:ascii="Century Gothic" w:hAnsi="Century Gothic"/>
        </w:rPr>
        <w:t>glazenwasserbedrijf</w:t>
      </w:r>
      <w:proofErr w:type="spellEnd"/>
      <w:r w:rsidR="00C74838">
        <w:rPr>
          <w:rFonts w:ascii="Century Gothic" w:hAnsi="Century Gothic"/>
        </w:rPr>
        <w:t>, alsook de ProRail regelgeving</w:t>
      </w:r>
      <w:r w:rsidRPr="0021686A">
        <w:rPr>
          <w:rFonts w:ascii="Century Gothic" w:hAnsi="Century Gothic"/>
        </w:rPr>
        <w:t>.</w:t>
      </w:r>
    </w:p>
    <w:p w14:paraId="22A834A5"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 xml:space="preserve">De dienstverlener dient alle noodzakelijke voorzorgsmaatregelen te treffen ter voorkoming van een legionella besmetting. Deze besmetting kan bijvoorbeeld ontstaan in restwater in de gebruikte slangen. </w:t>
      </w:r>
    </w:p>
    <w:p w14:paraId="29F8638D" w14:textId="77777777" w:rsidR="009A03EA" w:rsidRPr="002A5A9C" w:rsidRDefault="009A03EA" w:rsidP="009A03EA">
      <w:pPr>
        <w:pStyle w:val="Lijstopsomt"/>
        <w:numPr>
          <w:ilvl w:val="0"/>
          <w:numId w:val="3"/>
        </w:numPr>
        <w:rPr>
          <w:rFonts w:ascii="Century Gothic" w:hAnsi="Century Gothic"/>
        </w:rPr>
      </w:pPr>
      <w:r w:rsidRPr="0021686A">
        <w:rPr>
          <w:rFonts w:ascii="Century Gothic" w:hAnsi="Century Gothic"/>
        </w:rPr>
        <w:t xml:space="preserve">Naast persoonlijke veiligheid dient er aandacht te worden besteed aan de omgevingsveiligheid. De dienstverlener waarborgt de veiligheid van gebouwgebruikers en passanten in relatie tot de uit te voeren werkzaamheden. Toegankelijke gebieden die onder het werkterrein van de reinigingswerkzaamheden zijn gelegen, moeten ruim worden afgezet met duidelijk zichtbare middelen. Passanten mogen geen hinder ondervinden van water dat tijdens de werkzaamheden naar beneden valt. De dienstverlener draagt zorg voor de noodzakelijke veiligheidsmiddelen- en maatregelen. </w:t>
      </w:r>
    </w:p>
    <w:p w14:paraId="390FE83F"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Indien blijkt dat voor uitvoering extra ruimte noodzakelijk is, wordt in overleg met opdrachtgever parkeergelegenheid afgezet. Te allen tijde dient te worden voorkomen dat eigendommen van gebouwgebruikers (auto’s) beschadigd kunnen worden.</w:t>
      </w:r>
    </w:p>
    <w:p w14:paraId="324D926D"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 xml:space="preserve">Gemorst water dient uit veiligheidsoverwegingen direct opgeruimd te worden. De dienstverlener dient het werkterrein (daken, gondels en opslagruimtes) schoon te houden van afval, materiaalresten e.d. </w:t>
      </w:r>
    </w:p>
    <w:p w14:paraId="64F73BC2"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Chemisch afval dient de dienstverlener voor eigen rekening af te voeren.</w:t>
      </w:r>
    </w:p>
    <w:p w14:paraId="7BBC6B59"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Bij felle zon in combinatie met een hoge buitentemperatuur is opdrachtgever gerechtigd het wassen van het buitenglas en glasvliesgevel gedurende een bepaalde periode te staken. Dit in verband met het te snel opdrogen van de residuen. Bij temperaturen onder het vriespunt mogen er geen werkzaamheden plaatsvinden.</w:t>
      </w:r>
    </w:p>
    <w:p w14:paraId="066F286D"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Het betreden van de daken mag uitsluitend geschieden via de daartoe aangelegde looppaden. Schade voortvloeiend uit het onjuist gebruik van de daken wordt door de opdrachtgever op de dienstverlener verhaald.</w:t>
      </w:r>
    </w:p>
    <w:p w14:paraId="716E9112"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Daar waar wettelijke bepalingen zijn voorgeschreven voor het dragen van persoonlijke beschermingsmiddelen dienen deze te worden opgevolgd.</w:t>
      </w:r>
    </w:p>
    <w:p w14:paraId="39C05793"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Werkmaterialen dienen bij (tijdelijke) onderbreking van de werkzaamheden veilig buiten het zicht van gebouwgebruikers opgeborgen te worden. Tijdens de lunchtijden mogen er geen werkzaamheden worden uitgevoerd in restauratieve ruimten, alsmede de openbare verkeersruimten die direct daaraan grenzen.</w:t>
      </w:r>
    </w:p>
    <w:p w14:paraId="22EC7BF2"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Eten, drinken en roken tijdens het uitvoeren van het werk is niet toegestaan.</w:t>
      </w:r>
    </w:p>
    <w:p w14:paraId="655BA8B6"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Gebruik van technische ruimten als eetgelegenheid c.q. pauzeruimte is niet toegestaan.</w:t>
      </w:r>
    </w:p>
    <w:p w14:paraId="086437FF" w14:textId="77777777" w:rsidR="009A03EA" w:rsidRPr="0021686A" w:rsidRDefault="009A03EA" w:rsidP="009A03EA">
      <w:pPr>
        <w:pStyle w:val="Lijstopsomt"/>
        <w:numPr>
          <w:ilvl w:val="0"/>
          <w:numId w:val="3"/>
        </w:numPr>
        <w:rPr>
          <w:rFonts w:ascii="Century Gothic" w:hAnsi="Century Gothic"/>
        </w:rPr>
      </w:pPr>
      <w:r w:rsidRPr="0021686A">
        <w:rPr>
          <w:rFonts w:ascii="Century Gothic" w:hAnsi="Century Gothic"/>
        </w:rPr>
        <w:t>Bij gebruik van pauzeruimten dient het personeel van de dienstverlener geen beschermingsmiddelen achter te laten. Het personeel dient de ruimte bij het verlaten schoon op te leveren.</w:t>
      </w:r>
    </w:p>
    <w:p w14:paraId="07C4D801" w14:textId="77777777" w:rsidR="009A03EA" w:rsidRPr="00FE2A50" w:rsidRDefault="009A03EA" w:rsidP="009A03EA">
      <w:pPr>
        <w:pStyle w:val="Lijstopsomt"/>
        <w:numPr>
          <w:ilvl w:val="0"/>
          <w:numId w:val="0"/>
        </w:numPr>
        <w:ind w:left="360"/>
        <w:rPr>
          <w:rFonts w:ascii="Century Gothic" w:hAnsi="Century Gothic"/>
        </w:rPr>
      </w:pPr>
    </w:p>
    <w:p w14:paraId="259F51D7" w14:textId="77777777" w:rsidR="009A03EA" w:rsidRPr="00D27898" w:rsidRDefault="009A03EA" w:rsidP="009A03EA">
      <w:pPr>
        <w:pStyle w:val="Normaa"/>
        <w:rPr>
          <w:rFonts w:ascii="Century Gothic" w:hAnsi="Century Gothic"/>
          <w:i/>
          <w:u w:val="single"/>
          <w:lang w:val="en-AU"/>
        </w:rPr>
      </w:pPr>
      <w:r w:rsidRPr="0021686A">
        <w:rPr>
          <w:rFonts w:ascii="Century Gothic" w:hAnsi="Century Gothic"/>
          <w:i/>
          <w:u w:val="single"/>
        </w:rPr>
        <w:t>Gebruiksvoorschriften voor de gevelinstallatie</w:t>
      </w:r>
      <w:r w:rsidRPr="00D27898">
        <w:rPr>
          <w:rFonts w:ascii="Century Gothic" w:hAnsi="Century Gothic"/>
          <w:i/>
          <w:u w:val="single"/>
          <w:lang w:val="en-AU"/>
        </w:rPr>
        <w:t>:</w:t>
      </w:r>
    </w:p>
    <w:p w14:paraId="6C1376C6"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Aanwezige gevelinstallaties mogen niet worden gebruikt indien de weersomstandigheden dit niet toelaten. De voorschriften van de dienstverlener van de gevelinstallatie zijn hierbij leidend.</w:t>
      </w:r>
    </w:p>
    <w:p w14:paraId="41C089AF"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 xml:space="preserve">Bij gebruik van de gevelinstallatie dient vooraf het logboek te worden getekend, storingen dienen direct te worden gemeld, schade door ondeskundig gebruik of moedwillige vernieling wordt, indien aantoonbaar, verhaald op de gebruiker. Voordat de dienstverlener gebruik maakt van de aanwezige installaties, dient samen met de opdrachtgever de aanwezige situatie aangaande toegang en gebruik te worden </w:t>
      </w:r>
      <w:r w:rsidRPr="0021686A">
        <w:rPr>
          <w:rFonts w:ascii="Century Gothic" w:hAnsi="Century Gothic"/>
        </w:rPr>
        <w:lastRenderedPageBreak/>
        <w:t>beoordeeld.</w:t>
      </w:r>
    </w:p>
    <w:p w14:paraId="126ECCE1"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De gevelinstallatie mag pas worden betreden na akkoord van de daartoe bevoegde functionaris van de opdrachtgever. Gebruik van de gevelinstallatie mag alleen door daarvoor bevoegde glazenwassers, een en ander dient middels legitimatie aantoonbaar te zijn.</w:t>
      </w:r>
    </w:p>
    <w:p w14:paraId="3FB68019"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Bij het verlaten van de gevelinstallatie dient deze in de start- c.q. rustpositie op het dak te worden teruggeplaatst. De sleutels mogen nooit in de installatie achter blijven. Daarnaast dient de stroom te worden afgekoppeld, dienen de kabels te worden opgeruimd en de gondels te worden vergrendeld aan de rails (indien deze voorziening aanwezig is).</w:t>
      </w:r>
    </w:p>
    <w:p w14:paraId="575D06F0"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Het verplaatsen van de gevelinstallatie met als doel de bereikbaarheid te vergroten door middel van het afzetten aan de gevel is ten strengste verboden.</w:t>
      </w:r>
    </w:p>
    <w:p w14:paraId="26E00672"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De keuringsrapporten van alle gevelinstallaties zijn ter inzage bij opdrachtgever. De opdrachtgever is verplicht preventief onderhoud en periodieke keuringen te laten uitvoeren; klachten en/of verstoringen zullen na melding van de dienstverlener direct aan onderhoudende partij worden gemeld met de vraag deze zo snel mogelijk te laten verhelpen.</w:t>
      </w:r>
    </w:p>
    <w:p w14:paraId="7B641469"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Bij gebruik van de gevelinstallatie dient iedere uitvoerende individueel geborgd te zijn aan de daarvoor aangebrachte borgingspunten op het dak. Dit dient plaats te vinden met goedgekeurde vallijnen, persoonlijke harnasgordels en bevestigingshaken.</w:t>
      </w:r>
    </w:p>
    <w:p w14:paraId="496FE78C"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De dienstverlener stelt zich op de hoogte en werkt conform de bedienings- en veiligheidsvoorschriften die gelden voor het gebruik van de gevelinstallaties. De registers liggen ter inzage bij de opdrachtgever. Sleutels voor de installatie zijn bij de opdrachtgever af te halen. De sleutels dienen aan het einde van elke werkdag weer te worden ingeleverd.</w:t>
      </w:r>
    </w:p>
    <w:p w14:paraId="6512B2CF" w14:textId="77777777" w:rsidR="009A03EA" w:rsidRPr="00FE2A50" w:rsidRDefault="009A03EA" w:rsidP="009A03EA">
      <w:pPr>
        <w:pStyle w:val="Normaa"/>
        <w:rPr>
          <w:rFonts w:ascii="Century Gothic" w:hAnsi="Century Gothic"/>
        </w:rPr>
      </w:pPr>
    </w:p>
    <w:p w14:paraId="19629DF2" w14:textId="77777777" w:rsidR="009A03EA" w:rsidRPr="0021686A" w:rsidRDefault="009A03EA" w:rsidP="009A03EA">
      <w:pPr>
        <w:pStyle w:val="Plattete"/>
        <w:rPr>
          <w:rFonts w:ascii="Century Gothic" w:hAnsi="Century Gothic"/>
          <w:b w:val="0"/>
          <w:bCs w:val="0"/>
          <w:i/>
          <w:sz w:val="20"/>
          <w:szCs w:val="20"/>
          <w:u w:val="single"/>
        </w:rPr>
      </w:pPr>
      <w:r w:rsidRPr="0021686A">
        <w:rPr>
          <w:rFonts w:ascii="Century Gothic" w:hAnsi="Century Gothic"/>
          <w:b w:val="0"/>
          <w:bCs w:val="0"/>
          <w:i/>
          <w:sz w:val="20"/>
          <w:szCs w:val="20"/>
          <w:u w:val="single"/>
        </w:rPr>
        <w:t>Gebruiksvoorschriften voor de hoogwerker en overige</w:t>
      </w:r>
      <w:r w:rsidRPr="0021686A">
        <w:rPr>
          <w:rFonts w:ascii="Century Gothic" w:hAnsi="Century Gothic"/>
          <w:b w:val="0"/>
          <w:bCs w:val="0"/>
          <w:sz w:val="20"/>
          <w:szCs w:val="20"/>
        </w:rPr>
        <w:t xml:space="preserve"> </w:t>
      </w:r>
      <w:r w:rsidRPr="0021686A">
        <w:rPr>
          <w:rFonts w:ascii="Century Gothic" w:hAnsi="Century Gothic"/>
          <w:b w:val="0"/>
          <w:bCs w:val="0"/>
          <w:i/>
          <w:sz w:val="20"/>
          <w:szCs w:val="20"/>
          <w:u w:val="single"/>
        </w:rPr>
        <w:t>bereikbaarheidsvoorzieningen:</w:t>
      </w:r>
    </w:p>
    <w:p w14:paraId="77521238" w14:textId="77777777" w:rsidR="009A03EA" w:rsidRPr="0021686A" w:rsidRDefault="009A03EA" w:rsidP="009A03EA">
      <w:pPr>
        <w:pStyle w:val="Lijstopsomt"/>
        <w:numPr>
          <w:ilvl w:val="0"/>
          <w:numId w:val="1"/>
        </w:numPr>
        <w:rPr>
          <w:rFonts w:ascii="Century Gothic" w:hAnsi="Century Gothic"/>
        </w:rPr>
      </w:pPr>
      <w:r w:rsidRPr="0021686A">
        <w:rPr>
          <w:rFonts w:ascii="Century Gothic" w:hAnsi="Century Gothic"/>
        </w:rPr>
        <w:t>Inzet van hoogwerker en overige bereikbaarheidsvoorzieningen dient aantoonbaar conform de geldende regels plaats te vinden. Een kopie van het keuringsbewijs dient op verzoek te kunnen worden getoond.</w:t>
      </w:r>
    </w:p>
    <w:p w14:paraId="2291EF39" w14:textId="77777777" w:rsidR="009A03EA" w:rsidRPr="0021686A" w:rsidRDefault="009A03EA" w:rsidP="009A03EA">
      <w:pPr>
        <w:pStyle w:val="Lijstopsomt"/>
        <w:numPr>
          <w:ilvl w:val="0"/>
          <w:numId w:val="2"/>
        </w:numPr>
        <w:rPr>
          <w:rFonts w:ascii="Century Gothic" w:hAnsi="Century Gothic"/>
        </w:rPr>
      </w:pPr>
      <w:r w:rsidRPr="0021686A">
        <w:rPr>
          <w:rFonts w:ascii="Century Gothic" w:hAnsi="Century Gothic"/>
        </w:rPr>
        <w:t>Het gebruik van hoogwerker en overige bereikbaarheidsvoorzieningen dient overeenkomstig de voorschriften te worden uitgevoerd. Alle benodigde voorzieningen welke door de dienstverlener worden toegepast dienen eveneens te voldoen aan de eisen van de Arbeidsinspectie. Tevens is de NEN 2484 van toepassing.</w:t>
      </w:r>
    </w:p>
    <w:p w14:paraId="5393215E" w14:textId="77777777" w:rsidR="009A03EA" w:rsidRPr="0021686A" w:rsidRDefault="009A03EA" w:rsidP="009A03EA">
      <w:pPr>
        <w:pStyle w:val="Lijstopsomt"/>
        <w:numPr>
          <w:ilvl w:val="0"/>
          <w:numId w:val="2"/>
        </w:numPr>
        <w:rPr>
          <w:rFonts w:ascii="Century Gothic" w:hAnsi="Century Gothic"/>
        </w:rPr>
      </w:pPr>
      <w:r w:rsidRPr="0021686A">
        <w:rPr>
          <w:rFonts w:ascii="Century Gothic" w:hAnsi="Century Gothic"/>
        </w:rPr>
        <w:t xml:space="preserve">Een hoogwerker moet voorzien zijn van een plaat waarop de maximale gebruikslast staat vermeld. Deze maximale gebruikslast mag nooit worden overschreden. Daarnaast dient rekening te worden gehouden met de maximale vloerbelasting van de hoogwerker. </w:t>
      </w:r>
    </w:p>
    <w:p w14:paraId="4E73EDD0" w14:textId="77777777" w:rsidR="009A03EA" w:rsidRPr="0021686A" w:rsidRDefault="009A03EA" w:rsidP="009A03EA">
      <w:pPr>
        <w:pStyle w:val="Lijstopsomt"/>
        <w:numPr>
          <w:ilvl w:val="0"/>
          <w:numId w:val="2"/>
        </w:numPr>
        <w:rPr>
          <w:rFonts w:ascii="Century Gothic" w:hAnsi="Century Gothic"/>
        </w:rPr>
      </w:pPr>
      <w:r w:rsidRPr="0021686A">
        <w:rPr>
          <w:rFonts w:ascii="Century Gothic" w:hAnsi="Century Gothic"/>
        </w:rPr>
        <w:t>Gebruik van de hoogwerker mag alleen door daarvoor bevoegde glazenwassers. Een en ander dient middels legitimatie aantoonbaar te zijn.</w:t>
      </w:r>
    </w:p>
    <w:p w14:paraId="50771629" w14:textId="77777777" w:rsidR="009A03EA" w:rsidRPr="0021686A" w:rsidRDefault="009A03EA" w:rsidP="009A03EA">
      <w:pPr>
        <w:pStyle w:val="Lijstopsomt"/>
        <w:numPr>
          <w:ilvl w:val="0"/>
          <w:numId w:val="2"/>
        </w:numPr>
        <w:rPr>
          <w:rFonts w:ascii="Century Gothic" w:hAnsi="Century Gothic"/>
        </w:rPr>
      </w:pPr>
      <w:r w:rsidRPr="0021686A">
        <w:rPr>
          <w:rFonts w:ascii="Century Gothic" w:hAnsi="Century Gothic"/>
        </w:rPr>
        <w:t>Voor het werken met hoogwerkers in de buurt van bovenleidingen (treinen en trams) gelden strenge veiligheidsvoorschriften. De hoogwerker dient in deze gevallen geaard te zijn.</w:t>
      </w:r>
    </w:p>
    <w:p w14:paraId="0399F552" w14:textId="77777777" w:rsidR="009A03EA" w:rsidRPr="0021686A" w:rsidRDefault="009A03EA" w:rsidP="009A03EA">
      <w:pPr>
        <w:pStyle w:val="Normaa"/>
        <w:rPr>
          <w:rFonts w:ascii="Century Gothic" w:hAnsi="Century Gothic"/>
        </w:rPr>
      </w:pPr>
    </w:p>
    <w:p w14:paraId="4464F6C6" w14:textId="77777777" w:rsidR="009A03EA" w:rsidRPr="0021686A" w:rsidRDefault="009A03EA" w:rsidP="009A03EA">
      <w:pPr>
        <w:pStyle w:val="Normaa"/>
        <w:rPr>
          <w:rFonts w:ascii="Century Gothic" w:hAnsi="Century Gothic"/>
        </w:rPr>
      </w:pPr>
    </w:p>
    <w:p w14:paraId="705BD54E" w14:textId="77777777" w:rsidR="00F02A62" w:rsidRPr="0021686A" w:rsidRDefault="00C74838">
      <w:pPr>
        <w:rPr>
          <w:rFonts w:ascii="Century Gothic" w:hAnsi="Century Gothic"/>
        </w:rPr>
      </w:pPr>
    </w:p>
    <w:sectPr w:rsidR="00F02A62" w:rsidRPr="0021686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C5DA5" w14:textId="77777777" w:rsidR="00734A2A" w:rsidRDefault="00734A2A" w:rsidP="00734A2A">
      <w:pPr>
        <w:spacing w:after="0" w:line="240" w:lineRule="auto"/>
      </w:pPr>
      <w:r>
        <w:separator/>
      </w:r>
    </w:p>
  </w:endnote>
  <w:endnote w:type="continuationSeparator" w:id="0">
    <w:p w14:paraId="0DD88C51" w14:textId="77777777" w:rsidR="00734A2A" w:rsidRDefault="00734A2A" w:rsidP="00734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alibri"/>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19983" w14:textId="7FC4D902" w:rsidR="00734A2A" w:rsidRPr="00DD5B89" w:rsidRDefault="00DD5B89" w:rsidP="00DD5B89">
    <w:pPr>
      <w:pStyle w:val="Voettekst"/>
      <w:tabs>
        <w:tab w:val="left" w:pos="1889"/>
      </w:tabs>
      <w:rPr>
        <w:rFonts w:ascii="Century Gothic" w:hAnsi="Century Gothic"/>
        <w:i/>
        <w:iCs/>
        <w:sz w:val="16"/>
        <w:szCs w:val="16"/>
      </w:rPr>
    </w:pPr>
    <w:r w:rsidRPr="00DD5B89">
      <w:rPr>
        <w:rFonts w:ascii="Century Gothic" w:hAnsi="Century Gothic"/>
        <w:sz w:val="16"/>
        <w:szCs w:val="16"/>
        <w:highlight w:val="yellow"/>
      </w:rPr>
      <w:t>Versie: Concept 1.0</w:t>
    </w:r>
    <w:r w:rsidRPr="00DD5B89">
      <w:rPr>
        <w:rFonts w:ascii="Century Gothic" w:hAnsi="Century Gothic"/>
        <w:sz w:val="16"/>
        <w:szCs w:val="16"/>
        <w:highlight w:val="yellow"/>
      </w:rPr>
      <w:tab/>
    </w:r>
    <w:r w:rsidRPr="00DD5B89">
      <w:rPr>
        <w:rFonts w:ascii="Century Gothic" w:hAnsi="Century Gothic"/>
        <w:sz w:val="16"/>
        <w:szCs w:val="16"/>
        <w:highlight w:val="yellow"/>
      </w:rPr>
      <w:tab/>
    </w:r>
    <w:r w:rsidRPr="00DD5B89">
      <w:rPr>
        <w:rFonts w:ascii="Century Gothic" w:hAnsi="Century Gothic"/>
        <w:sz w:val="16"/>
        <w:szCs w:val="16"/>
        <w:highlight w:val="yellow"/>
      </w:rPr>
      <w:tab/>
    </w:r>
    <w:r w:rsidRPr="00DD5B89">
      <w:rPr>
        <w:rFonts w:ascii="Century Gothic" w:hAnsi="Century Gothic"/>
        <w:b/>
        <w:sz w:val="16"/>
        <w:szCs w:val="16"/>
        <w:highlight w:val="yellow"/>
      </w:rPr>
      <w:t>ProRail – Hygiëne</w:t>
    </w:r>
    <w:r w:rsidRPr="00DD5B89">
      <w:rPr>
        <w:rFonts w:ascii="Century Gothic" w:hAnsi="Century Gothic"/>
        <w:b/>
        <w:bCs/>
        <w:sz w:val="16"/>
        <w:szCs w:val="16"/>
        <w:highlight w:val="yellow"/>
      </w:rPr>
      <w:t xml:space="preserve">                                                             </w:t>
    </w:r>
    <w:r w:rsidRPr="00DD5B89">
      <w:rPr>
        <w:rFonts w:ascii="Century Gothic" w:hAnsi="Century Gothic"/>
        <w:sz w:val="16"/>
        <w:szCs w:val="16"/>
        <w:highlight w:val="yellow"/>
      </w:rPr>
      <w:t xml:space="preserve">Pagina </w:t>
    </w:r>
    <w:r w:rsidRPr="00DD5B89">
      <w:rPr>
        <w:rStyle w:val="Paginanummer"/>
        <w:rFonts w:ascii="Century Gothic" w:hAnsi="Century Gothic"/>
        <w:i/>
        <w:iCs/>
        <w:sz w:val="16"/>
        <w:szCs w:val="16"/>
        <w:highlight w:val="yellow"/>
      </w:rPr>
      <w:fldChar w:fldCharType="begin"/>
    </w:r>
    <w:r w:rsidRPr="00DD5B89">
      <w:rPr>
        <w:rStyle w:val="Paginanummer"/>
        <w:rFonts w:ascii="Century Gothic" w:hAnsi="Century Gothic"/>
        <w:i/>
        <w:iCs/>
        <w:sz w:val="16"/>
        <w:szCs w:val="16"/>
        <w:highlight w:val="yellow"/>
      </w:rPr>
      <w:instrText xml:space="preserve"> PAGE </w:instrText>
    </w:r>
    <w:r w:rsidRPr="00DD5B89">
      <w:rPr>
        <w:rStyle w:val="Paginanummer"/>
        <w:rFonts w:ascii="Century Gothic" w:hAnsi="Century Gothic"/>
        <w:i/>
        <w:iCs/>
        <w:sz w:val="16"/>
        <w:szCs w:val="16"/>
        <w:highlight w:val="yellow"/>
      </w:rPr>
      <w:fldChar w:fldCharType="separate"/>
    </w:r>
    <w:r w:rsidRPr="00DD5B89">
      <w:rPr>
        <w:rStyle w:val="Paginanummer"/>
        <w:rFonts w:ascii="Century Gothic" w:hAnsi="Century Gothic"/>
        <w:i/>
        <w:iCs/>
        <w:highlight w:val="yellow"/>
      </w:rPr>
      <w:t>1</w:t>
    </w:r>
    <w:r w:rsidRPr="00DD5B89">
      <w:rPr>
        <w:rStyle w:val="Paginanummer"/>
        <w:rFonts w:ascii="Century Gothic" w:hAnsi="Century Gothic"/>
        <w:i/>
        <w:iCs/>
        <w:sz w:val="16"/>
        <w:szCs w:val="16"/>
        <w:highlight w:val="yellow"/>
      </w:rPr>
      <w:fldChar w:fldCharType="end"/>
    </w:r>
    <w:r w:rsidRPr="00DD5B89">
      <w:rPr>
        <w:rStyle w:val="Paginanummer"/>
        <w:rFonts w:ascii="Century Gothic" w:hAnsi="Century Gothic"/>
        <w:i/>
        <w:iCs/>
        <w:sz w:val="16"/>
        <w:szCs w:val="16"/>
        <w:highlight w:val="yellow"/>
      </w:rPr>
      <w:t xml:space="preserve"> van </w:t>
    </w:r>
    <w:r w:rsidRPr="00DD5B89">
      <w:rPr>
        <w:rStyle w:val="Paginanummer"/>
        <w:rFonts w:ascii="Century Gothic" w:hAnsi="Century Gothic"/>
        <w:i/>
        <w:iCs/>
        <w:sz w:val="16"/>
        <w:szCs w:val="16"/>
        <w:highlight w:val="yellow"/>
      </w:rPr>
      <w:fldChar w:fldCharType="begin"/>
    </w:r>
    <w:r w:rsidRPr="00DD5B89">
      <w:rPr>
        <w:rStyle w:val="Paginanummer"/>
        <w:rFonts w:ascii="Century Gothic" w:hAnsi="Century Gothic"/>
        <w:i/>
        <w:iCs/>
        <w:sz w:val="16"/>
        <w:szCs w:val="16"/>
        <w:highlight w:val="yellow"/>
      </w:rPr>
      <w:instrText xml:space="preserve"> NUMPAGES </w:instrText>
    </w:r>
    <w:r w:rsidRPr="00DD5B89">
      <w:rPr>
        <w:rStyle w:val="Paginanummer"/>
        <w:rFonts w:ascii="Century Gothic" w:hAnsi="Century Gothic"/>
        <w:i/>
        <w:iCs/>
        <w:sz w:val="16"/>
        <w:szCs w:val="16"/>
        <w:highlight w:val="yellow"/>
      </w:rPr>
      <w:fldChar w:fldCharType="separate"/>
    </w:r>
    <w:r w:rsidRPr="00DD5B89">
      <w:rPr>
        <w:rStyle w:val="Paginanummer"/>
        <w:rFonts w:ascii="Century Gothic" w:hAnsi="Century Gothic"/>
        <w:i/>
        <w:iCs/>
        <w:highlight w:val="yellow"/>
      </w:rPr>
      <w:t>2</w:t>
    </w:r>
    <w:r w:rsidRPr="00DD5B89">
      <w:rPr>
        <w:rStyle w:val="Paginanummer"/>
        <w:rFonts w:ascii="Century Gothic" w:hAnsi="Century Gothic"/>
        <w:i/>
        <w:iCs/>
        <w:sz w:val="16"/>
        <w:szCs w:val="16"/>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0734" w14:textId="77777777" w:rsidR="00734A2A" w:rsidRDefault="00734A2A" w:rsidP="00734A2A">
      <w:pPr>
        <w:spacing w:after="0" w:line="240" w:lineRule="auto"/>
      </w:pPr>
      <w:r>
        <w:separator/>
      </w:r>
    </w:p>
  </w:footnote>
  <w:footnote w:type="continuationSeparator" w:id="0">
    <w:p w14:paraId="4CC3FF2F" w14:textId="77777777" w:rsidR="00734A2A" w:rsidRDefault="00734A2A" w:rsidP="00734A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72407"/>
    <w:multiLevelType w:val="hybridMultilevel"/>
    <w:tmpl w:val="6F64BD48"/>
    <w:lvl w:ilvl="0" w:tplc="00000000">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29F01E2C"/>
    <w:multiLevelType w:val="hybridMultilevel"/>
    <w:tmpl w:val="C41A9E9E"/>
    <w:lvl w:ilvl="0" w:tplc="04130001">
      <w:start w:val="1"/>
      <w:numFmt w:val="bullet"/>
      <w:pStyle w:val="Lijstopsomt"/>
      <w:lvlText w:val=""/>
      <w:lvlJc w:val="left"/>
      <w:pPr>
        <w:ind w:left="0" w:hanging="360"/>
      </w:pPr>
      <w:rPr>
        <w:rFonts w:ascii="Symbol" w:eastAsia="Times New Roman" w:hAnsi="Symbol" w:hint="default"/>
      </w:rPr>
    </w:lvl>
    <w:lvl w:ilvl="1" w:tplc="04130003">
      <w:start w:val="1"/>
      <w:numFmt w:val="bullet"/>
      <w:lvlText w:val="o"/>
      <w:lvlJc w:val="left"/>
      <w:pPr>
        <w:ind w:left="720" w:hanging="360"/>
      </w:pPr>
      <w:rPr>
        <w:rFonts w:ascii="Courier New" w:hAnsi="Courier New" w:hint="default"/>
      </w:rPr>
    </w:lvl>
    <w:lvl w:ilvl="2" w:tplc="04130005">
      <w:start w:val="1"/>
      <w:numFmt w:val="bullet"/>
      <w:lvlText w:val=""/>
      <w:lvlJc w:val="left"/>
      <w:pPr>
        <w:ind w:left="1440" w:hanging="360"/>
      </w:pPr>
      <w:rPr>
        <w:rFonts w:ascii="Wingdings" w:hAnsi="Wingdings" w:hint="default"/>
      </w:rPr>
    </w:lvl>
    <w:lvl w:ilvl="3" w:tplc="04130001">
      <w:start w:val="1"/>
      <w:numFmt w:val="bullet"/>
      <w:lvlText w:val=""/>
      <w:lvlJc w:val="left"/>
      <w:pPr>
        <w:ind w:left="2160" w:hanging="360"/>
      </w:pPr>
      <w:rPr>
        <w:rFonts w:ascii="Symbol" w:eastAsia="Times New Roman" w:hAnsi="Symbol" w:hint="default"/>
      </w:rPr>
    </w:lvl>
    <w:lvl w:ilvl="4" w:tplc="04130003">
      <w:start w:val="1"/>
      <w:numFmt w:val="bullet"/>
      <w:lvlText w:val="o"/>
      <w:lvlJc w:val="left"/>
      <w:pPr>
        <w:ind w:left="2880" w:hanging="360"/>
      </w:pPr>
      <w:rPr>
        <w:rFonts w:ascii="Courier New" w:hAnsi="Courier New" w:hint="default"/>
      </w:rPr>
    </w:lvl>
    <w:lvl w:ilvl="5" w:tplc="04130005">
      <w:start w:val="1"/>
      <w:numFmt w:val="bullet"/>
      <w:lvlText w:val=""/>
      <w:lvlJc w:val="left"/>
      <w:pPr>
        <w:ind w:left="3600" w:hanging="360"/>
      </w:pPr>
      <w:rPr>
        <w:rFonts w:ascii="Wingdings" w:hAnsi="Wingdings" w:hint="default"/>
      </w:rPr>
    </w:lvl>
    <w:lvl w:ilvl="6" w:tplc="04130001">
      <w:start w:val="1"/>
      <w:numFmt w:val="bullet"/>
      <w:lvlText w:val=""/>
      <w:lvlJc w:val="left"/>
      <w:pPr>
        <w:ind w:left="4320" w:hanging="360"/>
      </w:pPr>
      <w:rPr>
        <w:rFonts w:ascii="Symbol" w:eastAsia="Times New Roman" w:hAnsi="Symbol" w:hint="default"/>
      </w:rPr>
    </w:lvl>
    <w:lvl w:ilvl="7" w:tplc="04130003">
      <w:start w:val="1"/>
      <w:numFmt w:val="bullet"/>
      <w:lvlText w:val="o"/>
      <w:lvlJc w:val="left"/>
      <w:pPr>
        <w:ind w:left="5040" w:hanging="360"/>
      </w:pPr>
      <w:rPr>
        <w:rFonts w:ascii="Courier New" w:hAnsi="Courier New" w:hint="default"/>
      </w:rPr>
    </w:lvl>
    <w:lvl w:ilvl="8" w:tplc="04130005">
      <w:start w:val="1"/>
      <w:numFmt w:val="bullet"/>
      <w:lvlText w:val=""/>
      <w:lvlJc w:val="left"/>
      <w:pPr>
        <w:ind w:left="5760" w:hanging="360"/>
      </w:pPr>
      <w:rPr>
        <w:rFonts w:ascii="Wingdings" w:hAnsi="Wingdings" w:hint="default"/>
      </w:rPr>
    </w:lvl>
  </w:abstractNum>
  <w:abstractNum w:abstractNumId="2" w15:restartNumberingAfterBreak="0">
    <w:nsid w:val="5B87235C"/>
    <w:multiLevelType w:val="hybridMultilevel"/>
    <w:tmpl w:val="E710D6AE"/>
    <w:lvl w:ilvl="0" w:tplc="04130005">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7280611F"/>
    <w:multiLevelType w:val="hybridMultilevel"/>
    <w:tmpl w:val="73DC4276"/>
    <w:lvl w:ilvl="0" w:tplc="04130005">
      <w:numFmt w:val="bullet"/>
      <w:lvlText w:val=""/>
      <w:lvlJc w:val="left"/>
      <w:pPr>
        <w:ind w:left="360" w:hanging="360"/>
      </w:pPr>
      <w:rPr>
        <w:rFonts w:ascii="Symbol" w:eastAsia="Times New Roman" w:hAnsi="Symbo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eastAsia="Times New Roman"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eastAsia="Times New Roman"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3EA"/>
    <w:rsid w:val="00041F65"/>
    <w:rsid w:val="00077EB9"/>
    <w:rsid w:val="0008556C"/>
    <w:rsid w:val="00104008"/>
    <w:rsid w:val="0021686A"/>
    <w:rsid w:val="002A5A9C"/>
    <w:rsid w:val="003A21EA"/>
    <w:rsid w:val="004C46C1"/>
    <w:rsid w:val="007331F9"/>
    <w:rsid w:val="00734A2A"/>
    <w:rsid w:val="009A03EA"/>
    <w:rsid w:val="00A2795E"/>
    <w:rsid w:val="00A61116"/>
    <w:rsid w:val="00A9410D"/>
    <w:rsid w:val="00AE3CE9"/>
    <w:rsid w:val="00C74838"/>
    <w:rsid w:val="00CD0784"/>
    <w:rsid w:val="00D27898"/>
    <w:rsid w:val="00DD5B89"/>
    <w:rsid w:val="00F544A8"/>
    <w:rsid w:val="00FE2A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31AE5"/>
  <w15:docId w15:val="{FC81A241-59E2-4D86-A2FF-4ACB46EB3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Section Heading,Hoofdstuk,sectionHeading Char,sectionHeading,hoofdstuk,Episteem PvA Kop 1,Tempo Heading 1,U&amp;lc Bold,Small Cap Bold,Bold Small Caps,k1,k1standaard,Hoofdkop,Hoofdkop1,Hoofdkop2,Hoofdkop11,Hoofdkop3,Hoofdkop12,Hoofdkop21,h1"/>
    <w:basedOn w:val="Normaa"/>
    <w:next w:val="Normaa"/>
    <w:link w:val="Kop1Char"/>
    <w:uiPriority w:val="99"/>
    <w:qFormat/>
    <w:rsid w:val="009A03EA"/>
    <w:pPr>
      <w:keepNext/>
      <w:spacing w:before="240" w:after="120"/>
      <w:outlineLvl w:val="0"/>
    </w:pPr>
    <w:rPr>
      <w:b/>
      <w:bCs/>
      <w:kern w:val="32"/>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 Char,sectionHeading Char1,hoofdstuk Char,Episteem PvA Kop 1 Char,Tempo Heading 1 Char,U&amp;lc Bold Char,Small Cap Bold Char,Bold Small Caps Char,k1 Char,k1standaard Char,Hoofdkop Char"/>
    <w:basedOn w:val="Standaardalinea-lettertype"/>
    <w:link w:val="Kop1"/>
    <w:uiPriority w:val="99"/>
    <w:rsid w:val="009A03EA"/>
    <w:rPr>
      <w:rFonts w:ascii="Tahoma" w:eastAsia="Times New Roman" w:hAnsi="Tahoma" w:cs="Tahoma"/>
      <w:b/>
      <w:bCs/>
      <w:kern w:val="32"/>
      <w:sz w:val="26"/>
      <w:szCs w:val="26"/>
    </w:rPr>
  </w:style>
  <w:style w:type="paragraph" w:customStyle="1" w:styleId="Normaa">
    <w:name w:val="Normaa"/>
    <w:uiPriority w:val="99"/>
    <w:rsid w:val="009A03EA"/>
    <w:pPr>
      <w:widowControl w:val="0"/>
      <w:spacing w:after="0" w:line="240" w:lineRule="auto"/>
    </w:pPr>
    <w:rPr>
      <w:rFonts w:ascii="Tahoma" w:eastAsia="Times New Roman" w:hAnsi="Tahoma" w:cs="Tahoma"/>
      <w:sz w:val="20"/>
      <w:szCs w:val="20"/>
    </w:rPr>
  </w:style>
  <w:style w:type="paragraph" w:customStyle="1" w:styleId="Plattete">
    <w:name w:val="Platte te"/>
    <w:basedOn w:val="Normaa"/>
    <w:uiPriority w:val="99"/>
    <w:rsid w:val="009A03EA"/>
    <w:rPr>
      <w:b/>
      <w:bCs/>
      <w:sz w:val="36"/>
      <w:szCs w:val="36"/>
    </w:rPr>
  </w:style>
  <w:style w:type="paragraph" w:customStyle="1" w:styleId="Lijstopsomt">
    <w:name w:val="Lijst opsom.t"/>
    <w:basedOn w:val="Normaa"/>
    <w:uiPriority w:val="99"/>
    <w:rsid w:val="009A03EA"/>
    <w:pPr>
      <w:numPr>
        <w:numId w:val="4"/>
      </w:numPr>
    </w:pPr>
  </w:style>
  <w:style w:type="paragraph" w:styleId="Koptekst">
    <w:name w:val="header"/>
    <w:basedOn w:val="Standaard"/>
    <w:link w:val="KoptekstChar"/>
    <w:uiPriority w:val="99"/>
    <w:unhideWhenUsed/>
    <w:rsid w:val="00734A2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34A2A"/>
  </w:style>
  <w:style w:type="paragraph" w:styleId="Voettekst">
    <w:name w:val="footer"/>
    <w:basedOn w:val="Standaard"/>
    <w:link w:val="VoettekstChar"/>
    <w:unhideWhenUsed/>
    <w:rsid w:val="00734A2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34A2A"/>
  </w:style>
  <w:style w:type="paragraph" w:styleId="Ballontekst">
    <w:name w:val="Balloon Text"/>
    <w:basedOn w:val="Standaard"/>
    <w:link w:val="BallontekstChar"/>
    <w:uiPriority w:val="99"/>
    <w:semiHidden/>
    <w:unhideWhenUsed/>
    <w:rsid w:val="00734A2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34A2A"/>
    <w:rPr>
      <w:rFonts w:ascii="Tahoma" w:hAnsi="Tahoma" w:cs="Tahoma"/>
      <w:sz w:val="16"/>
      <w:szCs w:val="16"/>
    </w:rPr>
  </w:style>
  <w:style w:type="character" w:styleId="Paginanummer">
    <w:name w:val="page number"/>
    <w:basedOn w:val="Standaardalinea-lettertype"/>
    <w:semiHidden/>
    <w:rsid w:val="00085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33b483e-d7a7-41ec-808e-ad64b283fb4a" xsi:nil="true"/>
    <lcf76f155ced4ddcb4097134ff3c332f xmlns="2fac576c-54b3-42e5-a443-e6efb40b68c9">
      <Terms xmlns="http://schemas.microsoft.com/office/infopath/2007/PartnerControls"/>
    </lcf76f155ced4ddcb4097134ff3c332f>
    <_dlc_DocId xmlns="333b483e-d7a7-41ec-808e-ad64b283fb4a">TS01C520E84-1067988301-883</_dlc_DocId>
    <_dlc_DocIdUrl xmlns="333b483e-d7a7-41ec-808e-ad64b283fb4a">
      <Url>https://prorailbv.sharepoint.com/teams/TenderteamAdviseurHygine/_layouts/15/DocIdRedir.aspx?ID=TS01C520E84-1067988301-883</Url>
      <Description>TS01C520E84-1067988301-883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7A49F0C2E5DA40A9F35778CB1B7E6F" ma:contentTypeVersion="11" ma:contentTypeDescription="Create a new document." ma:contentTypeScope="" ma:versionID="9e6b09c8243e11a63009eeb5db36fa5b">
  <xsd:schema xmlns:xsd="http://www.w3.org/2001/XMLSchema" xmlns:xs="http://www.w3.org/2001/XMLSchema" xmlns:p="http://schemas.microsoft.com/office/2006/metadata/properties" xmlns:ns2="333b483e-d7a7-41ec-808e-ad64b283fb4a" xmlns:ns3="2fac576c-54b3-42e5-a443-e6efb40b68c9" targetNamespace="http://schemas.microsoft.com/office/2006/metadata/properties" ma:root="true" ma:fieldsID="a223284c1b5eb11c50a078e98d4fd71e" ns2:_="" ns3:_="">
    <xsd:import namespace="333b483e-d7a7-41ec-808e-ad64b283fb4a"/>
    <xsd:import namespace="2fac576c-54b3-42e5-a443-e6efb40b68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b483e-d7a7-41ec-808e-ad64b283fb4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c484bd82-6d58-46d5-8469-2ae4ed261110}" ma:internalName="TaxCatchAll" ma:showField="CatchAllData" ma:web="333b483e-d7a7-41ec-808e-ad64b283fb4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ac576c-54b3-42e5-a443-e6efb40b68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535443-99E9-4D45-983A-180CB4FA68A4}">
  <ds:schemaRefs>
    <ds:schemaRef ds:uri="http://schemas.microsoft.com/sharepoint/events"/>
  </ds:schemaRefs>
</ds:datastoreItem>
</file>

<file path=customXml/itemProps2.xml><?xml version="1.0" encoding="utf-8"?>
<ds:datastoreItem xmlns:ds="http://schemas.openxmlformats.org/officeDocument/2006/customXml" ds:itemID="{9FC3F2E8-17D7-4386-A199-1E37C51FE901}">
  <ds:schemaRefs>
    <ds:schemaRef ds:uri="http://schemas.microsoft.com/sharepoint/v3/contenttype/forms"/>
  </ds:schemaRefs>
</ds:datastoreItem>
</file>

<file path=customXml/itemProps3.xml><?xml version="1.0" encoding="utf-8"?>
<ds:datastoreItem xmlns:ds="http://schemas.openxmlformats.org/officeDocument/2006/customXml" ds:itemID="{1885FCB0-3C72-44A1-9D1B-A673301BACD9}">
  <ds:schemaRefs>
    <ds:schemaRef ds:uri="http://schemas.microsoft.com/office/2006/metadata/properties"/>
    <ds:schemaRef ds:uri="http://schemas.microsoft.com/office/infopath/2007/PartnerControls"/>
    <ds:schemaRef ds:uri="333b483e-d7a7-41ec-808e-ad64b283fb4a"/>
    <ds:schemaRef ds:uri="2fac576c-54b3-42e5-a443-e6efb40b68c9"/>
  </ds:schemaRefs>
</ds:datastoreItem>
</file>

<file path=customXml/itemProps4.xml><?xml version="1.0" encoding="utf-8"?>
<ds:datastoreItem xmlns:ds="http://schemas.openxmlformats.org/officeDocument/2006/customXml" ds:itemID="{1AB7303E-52B3-4286-A966-0B1727ED3577}"/>
</file>

<file path=docProps/app.xml><?xml version="1.0" encoding="utf-8"?>
<Properties xmlns="http://schemas.openxmlformats.org/officeDocument/2006/extended-properties" xmlns:vt="http://schemas.openxmlformats.org/officeDocument/2006/docPropsVTypes">
  <Template>Normal</Template>
  <TotalTime>2</TotalTime>
  <Pages>2</Pages>
  <Words>1023</Words>
  <Characters>5629</Characters>
  <Application>Microsoft Office Word</Application>
  <DocSecurity>0</DocSecurity>
  <Lines>46</Lines>
  <Paragraphs>13</Paragraphs>
  <ScaleCrop>false</ScaleCrop>
  <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 Toorenburgh</dc:creator>
  <cp:lastModifiedBy>Kanhai - Roopram, K.A. (Kawita)</cp:lastModifiedBy>
  <cp:revision>7</cp:revision>
  <dcterms:created xsi:type="dcterms:W3CDTF">2023-04-04T11:06:00Z</dcterms:created>
  <dcterms:modified xsi:type="dcterms:W3CDTF">2023-04-17T09:02:00Z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0x0101007F7A49F0C2E5DA40A9F35778CB1B7E6F</vt:lpwstr>
  </property>
  <property fmtid="{D5CDD505-2E9C-101B-9397-08002B2CF9AE}" pid="3" name="_dlc_DocIdItemGuid">
    <vt:lpwstr>b3ab83c8-0de1-4e87-8621-b923bf25728b</vt:lpwstr>
  </property>
  <property fmtid="{D5CDD505-2E9C-101B-9397-08002B2CF9AE}" pid="4" name="MediaServiceImageTags">
    <vt:lpwstr/>
  </property>
  <property fmtid="{D5CDD505-2E9C-101B-9397-08002B2CF9AE}" pid="5" name="MSIP_Label_24e57bac-d225-40fb-8a9e-62b5be587a96_Enabled">
    <vt:lpwstr>true</vt:lpwstr>
  </property>
  <property fmtid="{D5CDD505-2E9C-101B-9397-08002B2CF9AE}" pid="6" name="MSIP_Label_24e57bac-d225-40fb-8a9e-62b5be587a96_SetDate">
    <vt:lpwstr>2023-04-04T11:06:50Z</vt:lpwstr>
  </property>
  <property fmtid="{D5CDD505-2E9C-101B-9397-08002B2CF9AE}" pid="7" name="MSIP_Label_24e57bac-d225-40fb-8a9e-62b5be587a96_Method">
    <vt:lpwstr>Standard</vt:lpwstr>
  </property>
  <property fmtid="{D5CDD505-2E9C-101B-9397-08002B2CF9AE}" pid="8" name="MSIP_Label_24e57bac-d225-40fb-8a9e-62b5be587a96_Name">
    <vt:lpwstr>Internal</vt:lpwstr>
  </property>
  <property fmtid="{D5CDD505-2E9C-101B-9397-08002B2CF9AE}" pid="9" name="MSIP_Label_24e57bac-d225-40fb-8a9e-62b5be587a96_SiteId">
    <vt:lpwstr>a398fcff-8d2b-4930-a7f7-e1c99a108d77</vt:lpwstr>
  </property>
  <property fmtid="{D5CDD505-2E9C-101B-9397-08002B2CF9AE}" pid="10" name="MSIP_Label_24e57bac-d225-40fb-8a9e-62b5be587a96_ActionId">
    <vt:lpwstr>778b182d-ab2d-4b40-9ef2-68d15b091a04</vt:lpwstr>
  </property>
  <property fmtid="{D5CDD505-2E9C-101B-9397-08002B2CF9AE}" pid="11" name="MSIP_Label_24e57bac-d225-40fb-8a9e-62b5be587a96_ContentBits">
    <vt:lpwstr>0</vt:lpwstr>
  </property>
</Properties>
</file>